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16F6" w14:textId="1C1FB48C" w:rsidR="009B4062" w:rsidRDefault="00190804">
      <w:pPr>
        <w:spacing w:line="200" w:lineRule="exact"/>
        <w:rPr>
          <w:sz w:val="24"/>
          <w:szCs w:val="24"/>
        </w:rPr>
      </w:pPr>
      <w:r>
        <w:rPr>
          <w:noProof/>
          <w:sz w:val="24"/>
          <w:szCs w:val="24"/>
        </w:rPr>
        <w:drawing>
          <wp:anchor distT="0" distB="0" distL="114300" distR="114300" simplePos="0" relativeHeight="251656192" behindDoc="1" locked="0" layoutInCell="0" allowOverlap="1" wp14:anchorId="006684C3" wp14:editId="77FFED20">
            <wp:simplePos x="0" y="0"/>
            <wp:positionH relativeFrom="page">
              <wp:posOffset>304800</wp:posOffset>
            </wp:positionH>
            <wp:positionV relativeFrom="page">
              <wp:posOffset>304800</wp:posOffset>
            </wp:positionV>
            <wp:extent cx="6952615" cy="10084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52615" cy="10084435"/>
                    </a:xfrm>
                    <a:prstGeom prst="rect">
                      <a:avLst/>
                    </a:prstGeom>
                    <a:noFill/>
                  </pic:spPr>
                </pic:pic>
              </a:graphicData>
            </a:graphic>
          </wp:anchor>
        </w:drawing>
      </w:r>
    </w:p>
    <w:p w14:paraId="663EC6AA" w14:textId="77777777" w:rsidR="009B4062" w:rsidRDefault="009B4062">
      <w:pPr>
        <w:spacing w:line="371" w:lineRule="exact"/>
        <w:rPr>
          <w:sz w:val="24"/>
          <w:szCs w:val="24"/>
        </w:rPr>
      </w:pPr>
    </w:p>
    <w:p w14:paraId="115845CC" w14:textId="77777777" w:rsidR="009B4062" w:rsidRDefault="00190804">
      <w:pPr>
        <w:ind w:right="6"/>
        <w:jc w:val="center"/>
        <w:rPr>
          <w:sz w:val="20"/>
          <w:szCs w:val="20"/>
        </w:rPr>
      </w:pPr>
      <w:r>
        <w:rPr>
          <w:rFonts w:eastAsia="Times New Roman"/>
          <w:b/>
          <w:bCs/>
          <w:sz w:val="28"/>
          <w:szCs w:val="28"/>
        </w:rPr>
        <w:t>National Area Board Committee</w:t>
      </w:r>
    </w:p>
    <w:p w14:paraId="027A5504" w14:textId="77777777" w:rsidR="009B4062" w:rsidRDefault="00190804">
      <w:pPr>
        <w:ind w:right="6"/>
        <w:jc w:val="center"/>
        <w:rPr>
          <w:sz w:val="20"/>
          <w:szCs w:val="20"/>
        </w:rPr>
      </w:pPr>
      <w:r>
        <w:rPr>
          <w:rFonts w:eastAsia="Times New Roman"/>
          <w:b/>
          <w:bCs/>
          <w:sz w:val="28"/>
          <w:szCs w:val="28"/>
        </w:rPr>
        <w:t>Player Transfer Regulations</w:t>
      </w:r>
    </w:p>
    <w:p w14:paraId="2A1C2CE2" w14:textId="77777777" w:rsidR="009B4062" w:rsidRDefault="009B4062">
      <w:pPr>
        <w:spacing w:line="331" w:lineRule="exact"/>
        <w:rPr>
          <w:sz w:val="24"/>
          <w:szCs w:val="24"/>
        </w:rPr>
      </w:pPr>
    </w:p>
    <w:p w14:paraId="15F296F3" w14:textId="6BCAA2CA" w:rsidR="009B4062" w:rsidRPr="00DF7775" w:rsidRDefault="00190804" w:rsidP="00DF7775">
      <w:pPr>
        <w:pStyle w:val="ListParagraph"/>
        <w:numPr>
          <w:ilvl w:val="0"/>
          <w:numId w:val="3"/>
        </w:numPr>
        <w:tabs>
          <w:tab w:val="left" w:pos="720"/>
        </w:tabs>
        <w:spacing w:line="236" w:lineRule="auto"/>
        <w:ind w:right="446"/>
        <w:rPr>
          <w:rFonts w:eastAsia="Times New Roman"/>
          <w:sz w:val="24"/>
          <w:szCs w:val="24"/>
        </w:rPr>
      </w:pPr>
      <w:r w:rsidRPr="00DF7775">
        <w:rPr>
          <w:rFonts w:eastAsia="Times New Roman"/>
          <w:sz w:val="24"/>
          <w:szCs w:val="24"/>
        </w:rPr>
        <w:t>All transfers at Area Board level must firstly be completed in accordance with the Regulations and Byelaws of Basketball Ireland Article 10 Transfers Within Basketball Ireland.</w:t>
      </w:r>
    </w:p>
    <w:p w14:paraId="16959F47" w14:textId="77777777" w:rsidR="009B4062" w:rsidRPr="00DF7775" w:rsidRDefault="009B4062" w:rsidP="00DF7775">
      <w:pPr>
        <w:spacing w:line="289" w:lineRule="exact"/>
        <w:rPr>
          <w:rFonts w:eastAsia="Times New Roman"/>
          <w:sz w:val="24"/>
          <w:szCs w:val="24"/>
        </w:rPr>
      </w:pPr>
    </w:p>
    <w:p w14:paraId="050C26B6" w14:textId="6736C1F7" w:rsidR="009B4062" w:rsidRPr="00DF7775" w:rsidRDefault="00190804" w:rsidP="00DF7775">
      <w:pPr>
        <w:pStyle w:val="ListParagraph"/>
        <w:numPr>
          <w:ilvl w:val="0"/>
          <w:numId w:val="3"/>
        </w:numPr>
        <w:tabs>
          <w:tab w:val="left" w:pos="720"/>
        </w:tabs>
        <w:spacing w:line="234" w:lineRule="auto"/>
        <w:ind w:right="526"/>
        <w:rPr>
          <w:rFonts w:eastAsia="Times New Roman"/>
          <w:sz w:val="24"/>
          <w:szCs w:val="24"/>
        </w:rPr>
      </w:pPr>
      <w:r w:rsidRPr="00DF7775">
        <w:rPr>
          <w:rFonts w:eastAsia="Times New Roman"/>
          <w:sz w:val="24"/>
          <w:szCs w:val="24"/>
        </w:rPr>
        <w:t>All players wishing to transfer at club level must complete the Basketball Ireland Transfer Form regardless of age.</w:t>
      </w:r>
    </w:p>
    <w:p w14:paraId="3E35C545" w14:textId="77777777" w:rsidR="009B4062" w:rsidRPr="00DF7775" w:rsidRDefault="009B4062" w:rsidP="00DF7775">
      <w:pPr>
        <w:spacing w:line="289" w:lineRule="exact"/>
        <w:rPr>
          <w:rFonts w:eastAsia="Times New Roman"/>
          <w:sz w:val="24"/>
          <w:szCs w:val="24"/>
        </w:rPr>
      </w:pPr>
    </w:p>
    <w:p w14:paraId="2FDDC7E7" w14:textId="4A1DDBC8" w:rsidR="009B4062" w:rsidRPr="00DF7775" w:rsidRDefault="00190804" w:rsidP="00DF7775">
      <w:pPr>
        <w:pStyle w:val="ListParagraph"/>
        <w:numPr>
          <w:ilvl w:val="0"/>
          <w:numId w:val="3"/>
        </w:numPr>
        <w:tabs>
          <w:tab w:val="left" w:pos="720"/>
        </w:tabs>
        <w:spacing w:line="251" w:lineRule="auto"/>
        <w:ind w:right="26"/>
        <w:rPr>
          <w:rFonts w:eastAsia="Times New Roman"/>
          <w:sz w:val="24"/>
          <w:szCs w:val="24"/>
        </w:rPr>
      </w:pPr>
      <w:r w:rsidRPr="00DF7775">
        <w:rPr>
          <w:rFonts w:eastAsia="Times New Roman"/>
          <w:sz w:val="24"/>
          <w:szCs w:val="24"/>
        </w:rPr>
        <w:t>In order to comply with the transfer date deadline, players requesting a transfer must have completed the first section of the transfer form and have it lodged with the Secretary of their Area Board by midnight of the 31</w:t>
      </w:r>
      <w:r w:rsidRPr="00DF7775">
        <w:rPr>
          <w:rFonts w:eastAsia="Times New Roman"/>
          <w:sz w:val="24"/>
          <w:szCs w:val="24"/>
          <w:vertAlign w:val="superscript"/>
        </w:rPr>
        <w:t>st</w:t>
      </w:r>
      <w:r w:rsidRPr="00DF7775">
        <w:rPr>
          <w:rFonts w:eastAsia="Times New Roman"/>
          <w:sz w:val="24"/>
          <w:szCs w:val="24"/>
        </w:rPr>
        <w:t xml:space="preserve"> of October of the current season.</w:t>
      </w:r>
    </w:p>
    <w:p w14:paraId="6A4AA89B" w14:textId="77777777" w:rsidR="009B4062" w:rsidRPr="00DF7775" w:rsidRDefault="009B4062" w:rsidP="00DF7775">
      <w:pPr>
        <w:spacing w:line="178" w:lineRule="exact"/>
        <w:rPr>
          <w:rFonts w:eastAsia="Times New Roman"/>
          <w:sz w:val="24"/>
          <w:szCs w:val="24"/>
        </w:rPr>
      </w:pPr>
    </w:p>
    <w:p w14:paraId="4D332B48" w14:textId="6BDE3A94" w:rsidR="009B4062" w:rsidRPr="00DF7775" w:rsidRDefault="00190804" w:rsidP="00DF7775">
      <w:pPr>
        <w:pStyle w:val="ListParagraph"/>
        <w:numPr>
          <w:ilvl w:val="0"/>
          <w:numId w:val="3"/>
        </w:numPr>
        <w:tabs>
          <w:tab w:val="left" w:pos="720"/>
        </w:tabs>
        <w:spacing w:line="237" w:lineRule="auto"/>
        <w:ind w:right="146"/>
        <w:rPr>
          <w:rFonts w:eastAsia="Times New Roman"/>
          <w:sz w:val="24"/>
          <w:szCs w:val="24"/>
        </w:rPr>
      </w:pPr>
      <w:r w:rsidRPr="00DF7775">
        <w:rPr>
          <w:rFonts w:eastAsia="Times New Roman"/>
          <w:sz w:val="24"/>
          <w:szCs w:val="24"/>
        </w:rPr>
        <w:t xml:space="preserve">Once a player has been registered with Basketball Ireland and has been issued with a BIPIN the player is considered to be a member of the </w:t>
      </w:r>
      <w:proofErr w:type="gramStart"/>
      <w:r w:rsidRPr="00DF7775">
        <w:rPr>
          <w:rFonts w:eastAsia="Times New Roman"/>
          <w:sz w:val="24"/>
          <w:szCs w:val="24"/>
        </w:rPr>
        <w:t>club</w:t>
      </w:r>
      <w:proofErr w:type="gramEnd"/>
      <w:r w:rsidRPr="00DF7775">
        <w:rPr>
          <w:rFonts w:eastAsia="Times New Roman"/>
          <w:sz w:val="24"/>
          <w:szCs w:val="24"/>
        </w:rPr>
        <w:t xml:space="preserve"> he/she has been registered with for transfer purposes. All players, irrespective of age, must be registered with Basketball Ireland.</w:t>
      </w:r>
    </w:p>
    <w:p w14:paraId="3F10555A" w14:textId="77777777" w:rsidR="009B4062" w:rsidRPr="00DF7775" w:rsidRDefault="009B4062" w:rsidP="00DF7775">
      <w:pPr>
        <w:spacing w:line="289" w:lineRule="exact"/>
        <w:rPr>
          <w:rFonts w:eastAsia="Times New Roman"/>
          <w:sz w:val="24"/>
          <w:szCs w:val="24"/>
        </w:rPr>
      </w:pPr>
    </w:p>
    <w:p w14:paraId="26A688B3" w14:textId="2E933CED" w:rsidR="00AF4A79" w:rsidRPr="00DF7775" w:rsidRDefault="00190804" w:rsidP="00DF7775">
      <w:pPr>
        <w:pStyle w:val="ListParagraph"/>
        <w:numPr>
          <w:ilvl w:val="0"/>
          <w:numId w:val="3"/>
        </w:numPr>
        <w:tabs>
          <w:tab w:val="left" w:pos="720"/>
        </w:tabs>
        <w:spacing w:line="236" w:lineRule="auto"/>
        <w:ind w:right="446"/>
        <w:rPr>
          <w:rFonts w:eastAsia="Times New Roman"/>
          <w:sz w:val="24"/>
          <w:szCs w:val="24"/>
        </w:rPr>
      </w:pPr>
      <w:r w:rsidRPr="00DF7775">
        <w:rPr>
          <w:rFonts w:eastAsia="Times New Roman"/>
          <w:sz w:val="24"/>
          <w:szCs w:val="24"/>
        </w:rPr>
        <w:t>A player is deemed to be an inactive player if he/she has not been registered with Basketball Ireland as a player for a minimum of t</w:t>
      </w:r>
      <w:r w:rsidR="00FF1D71" w:rsidRPr="00DF7775">
        <w:rPr>
          <w:rFonts w:eastAsia="Times New Roman"/>
          <w:sz w:val="24"/>
          <w:szCs w:val="24"/>
        </w:rPr>
        <w:t xml:space="preserve">wo </w:t>
      </w:r>
      <w:r w:rsidRPr="00DF7775">
        <w:rPr>
          <w:rFonts w:eastAsia="Times New Roman"/>
          <w:sz w:val="24"/>
          <w:szCs w:val="24"/>
        </w:rPr>
        <w:t>(</w:t>
      </w:r>
      <w:r w:rsidR="00AF4A79" w:rsidRPr="00DF7775">
        <w:rPr>
          <w:rFonts w:eastAsia="Times New Roman"/>
          <w:sz w:val="24"/>
          <w:szCs w:val="24"/>
        </w:rPr>
        <w:t>2</w:t>
      </w:r>
      <w:r w:rsidRPr="00DF7775">
        <w:rPr>
          <w:rFonts w:eastAsia="Times New Roman"/>
          <w:sz w:val="24"/>
          <w:szCs w:val="24"/>
        </w:rPr>
        <w:t>) consecutive seasons</w:t>
      </w:r>
      <w:r w:rsidR="00416DD2" w:rsidRPr="00DF7775">
        <w:rPr>
          <w:rFonts w:eastAsia="Times New Roman"/>
          <w:sz w:val="24"/>
          <w:szCs w:val="24"/>
        </w:rPr>
        <w:t>.</w:t>
      </w:r>
      <w:r w:rsidRPr="00DF7775">
        <w:rPr>
          <w:rFonts w:eastAsia="Times New Roman"/>
          <w:sz w:val="24"/>
          <w:szCs w:val="24"/>
        </w:rPr>
        <w:t xml:space="preserve"> </w:t>
      </w:r>
      <w:r w:rsidR="00416DD2" w:rsidRPr="00DF7775">
        <w:rPr>
          <w:rFonts w:eastAsia="Times New Roman"/>
          <w:sz w:val="24"/>
          <w:szCs w:val="24"/>
        </w:rPr>
        <w:t>They</w:t>
      </w:r>
      <w:r w:rsidR="00AF4A79" w:rsidRPr="00DF7775">
        <w:rPr>
          <w:rFonts w:eastAsia="Times New Roman"/>
          <w:sz w:val="24"/>
          <w:szCs w:val="24"/>
        </w:rPr>
        <w:t xml:space="preserve"> shall to be required to complete a transfer form to be signed by the A</w:t>
      </w:r>
      <w:r w:rsidR="00DF7775">
        <w:rPr>
          <w:rFonts w:eastAsia="Times New Roman"/>
          <w:sz w:val="24"/>
          <w:szCs w:val="24"/>
        </w:rPr>
        <w:t xml:space="preserve">rea </w:t>
      </w:r>
      <w:r w:rsidR="00AF4A79" w:rsidRPr="00DF7775">
        <w:rPr>
          <w:rFonts w:eastAsia="Times New Roman"/>
          <w:sz w:val="24"/>
          <w:szCs w:val="24"/>
        </w:rPr>
        <w:t>B</w:t>
      </w:r>
      <w:r w:rsidR="00DF7775">
        <w:rPr>
          <w:rFonts w:eastAsia="Times New Roman"/>
          <w:sz w:val="24"/>
          <w:szCs w:val="24"/>
        </w:rPr>
        <w:t>oard</w:t>
      </w:r>
      <w:r w:rsidR="00AF4A79" w:rsidRPr="00DF7775">
        <w:rPr>
          <w:rFonts w:eastAsia="Times New Roman"/>
          <w:sz w:val="24"/>
          <w:szCs w:val="24"/>
        </w:rPr>
        <w:t xml:space="preserve"> where they were last registered.</w:t>
      </w:r>
    </w:p>
    <w:p w14:paraId="7720C77B" w14:textId="77777777" w:rsidR="00FF1D71" w:rsidRPr="00DF7775" w:rsidRDefault="00FF1D71" w:rsidP="00DF7775">
      <w:pPr>
        <w:tabs>
          <w:tab w:val="left" w:pos="720"/>
        </w:tabs>
        <w:spacing w:line="236" w:lineRule="auto"/>
        <w:ind w:right="446"/>
        <w:rPr>
          <w:rFonts w:eastAsia="Times New Roman"/>
          <w:sz w:val="24"/>
          <w:szCs w:val="24"/>
        </w:rPr>
      </w:pPr>
    </w:p>
    <w:p w14:paraId="1A0B8469" w14:textId="00C944AF" w:rsidR="009B4062" w:rsidRPr="00DF7775" w:rsidRDefault="00190804" w:rsidP="00DF7775">
      <w:pPr>
        <w:pStyle w:val="ListParagraph"/>
        <w:numPr>
          <w:ilvl w:val="0"/>
          <w:numId w:val="3"/>
        </w:numPr>
        <w:tabs>
          <w:tab w:val="left" w:pos="720"/>
        </w:tabs>
        <w:spacing w:line="236" w:lineRule="auto"/>
        <w:ind w:right="446"/>
        <w:rPr>
          <w:rFonts w:eastAsia="Times New Roman"/>
          <w:sz w:val="24"/>
          <w:szCs w:val="24"/>
        </w:rPr>
      </w:pPr>
      <w:r w:rsidRPr="00DF7775">
        <w:rPr>
          <w:rFonts w:eastAsia="Times New Roman"/>
          <w:sz w:val="24"/>
          <w:szCs w:val="24"/>
        </w:rPr>
        <w:t>No transfer shall be signed by the assigned representative of the Area Board without all sections of the transfer form being fully completed. The BIPIN must be included on all forms if the player has previously been registered with Basketball Ireland.</w:t>
      </w:r>
    </w:p>
    <w:p w14:paraId="46E37707" w14:textId="7B0E6EF4" w:rsidR="009B4062" w:rsidRPr="00DF7775" w:rsidRDefault="00AF4A79" w:rsidP="00AF4A79">
      <w:pPr>
        <w:tabs>
          <w:tab w:val="left" w:pos="6972"/>
        </w:tabs>
        <w:spacing w:line="290" w:lineRule="exact"/>
        <w:rPr>
          <w:rFonts w:eastAsia="Times New Roman"/>
          <w:sz w:val="24"/>
          <w:szCs w:val="24"/>
        </w:rPr>
      </w:pPr>
      <w:r w:rsidRPr="00DF7775">
        <w:rPr>
          <w:rFonts w:eastAsia="Times New Roman"/>
          <w:sz w:val="24"/>
          <w:szCs w:val="24"/>
        </w:rPr>
        <w:tab/>
      </w:r>
    </w:p>
    <w:p w14:paraId="22D9B821" w14:textId="07FC22B8" w:rsidR="00AF4A79" w:rsidRPr="00DF7775" w:rsidRDefault="00190804" w:rsidP="00DF7775">
      <w:pPr>
        <w:pStyle w:val="ListParagraph"/>
        <w:numPr>
          <w:ilvl w:val="0"/>
          <w:numId w:val="3"/>
        </w:numPr>
        <w:tabs>
          <w:tab w:val="left" w:pos="720"/>
        </w:tabs>
        <w:spacing w:line="234" w:lineRule="auto"/>
        <w:ind w:right="286"/>
        <w:rPr>
          <w:rFonts w:eastAsia="Times New Roman"/>
          <w:sz w:val="24"/>
          <w:szCs w:val="24"/>
        </w:rPr>
      </w:pPr>
      <w:r w:rsidRPr="00DF7775">
        <w:rPr>
          <w:rFonts w:eastAsia="Times New Roman"/>
          <w:sz w:val="24"/>
          <w:szCs w:val="24"/>
        </w:rPr>
        <w:t>No transfers shall be permitted at U14 and downwards (save at the discretion of the NABC in exceptional circumstances).</w:t>
      </w:r>
    </w:p>
    <w:p w14:paraId="1C06AC0E" w14:textId="77777777" w:rsidR="00AF4A79" w:rsidRPr="00DF7775" w:rsidRDefault="00AF4A79" w:rsidP="00DF7775">
      <w:pPr>
        <w:tabs>
          <w:tab w:val="left" w:pos="720"/>
        </w:tabs>
        <w:spacing w:line="234" w:lineRule="auto"/>
        <w:ind w:left="720" w:right="286"/>
        <w:rPr>
          <w:rFonts w:eastAsia="Times New Roman"/>
          <w:sz w:val="24"/>
          <w:szCs w:val="24"/>
        </w:rPr>
      </w:pPr>
      <w:bookmarkStart w:id="0" w:name="_Hlk174963781"/>
    </w:p>
    <w:p w14:paraId="100FCED7" w14:textId="41080615" w:rsidR="00AF4A79" w:rsidRPr="00DF7775" w:rsidRDefault="00AF4A79" w:rsidP="00DF7775">
      <w:pPr>
        <w:tabs>
          <w:tab w:val="left" w:pos="720"/>
        </w:tabs>
        <w:spacing w:line="234" w:lineRule="auto"/>
        <w:ind w:left="720" w:right="286"/>
        <w:rPr>
          <w:rFonts w:eastAsia="Times New Roman"/>
          <w:sz w:val="24"/>
          <w:szCs w:val="24"/>
        </w:rPr>
      </w:pPr>
      <w:r w:rsidRPr="00DF7775">
        <w:rPr>
          <w:rFonts w:eastAsia="Times New Roman"/>
          <w:sz w:val="24"/>
          <w:szCs w:val="24"/>
        </w:rPr>
        <w:t>U11 players who have not played in a competitive league need to submit a transfer form in the normal manner.  However, once the relevant A</w:t>
      </w:r>
      <w:r w:rsidR="00DF7775">
        <w:rPr>
          <w:rFonts w:eastAsia="Times New Roman"/>
          <w:sz w:val="24"/>
          <w:szCs w:val="24"/>
        </w:rPr>
        <w:t xml:space="preserve">rea </w:t>
      </w:r>
      <w:r w:rsidRPr="00DF7775">
        <w:rPr>
          <w:rFonts w:eastAsia="Times New Roman"/>
          <w:sz w:val="24"/>
          <w:szCs w:val="24"/>
        </w:rPr>
        <w:t>B</w:t>
      </w:r>
      <w:r w:rsidR="00DF7775">
        <w:rPr>
          <w:rFonts w:eastAsia="Times New Roman"/>
          <w:sz w:val="24"/>
          <w:szCs w:val="24"/>
        </w:rPr>
        <w:t>oard</w:t>
      </w:r>
      <w:r w:rsidRPr="00DF7775">
        <w:rPr>
          <w:rFonts w:eastAsia="Times New Roman"/>
          <w:sz w:val="24"/>
          <w:szCs w:val="24"/>
        </w:rPr>
        <w:t xml:space="preserve"> conf</w:t>
      </w:r>
      <w:r w:rsidR="00190804" w:rsidRPr="00DF7775">
        <w:rPr>
          <w:rFonts w:eastAsia="Times New Roman"/>
          <w:sz w:val="24"/>
          <w:szCs w:val="24"/>
        </w:rPr>
        <w:t>i</w:t>
      </w:r>
      <w:r w:rsidRPr="00DF7775">
        <w:rPr>
          <w:rFonts w:eastAsia="Times New Roman"/>
          <w:sz w:val="24"/>
          <w:szCs w:val="24"/>
        </w:rPr>
        <w:t>rms that the player had not played in a competitive league, the NABC Executive will approve these transfers</w:t>
      </w:r>
    </w:p>
    <w:bookmarkEnd w:id="0"/>
    <w:p w14:paraId="5D278113" w14:textId="77777777" w:rsidR="009B4062" w:rsidRPr="00DF7775" w:rsidRDefault="009B4062" w:rsidP="00DF7775">
      <w:pPr>
        <w:spacing w:line="289" w:lineRule="exact"/>
        <w:rPr>
          <w:rFonts w:eastAsia="Times New Roman"/>
          <w:sz w:val="24"/>
          <w:szCs w:val="24"/>
        </w:rPr>
      </w:pPr>
    </w:p>
    <w:p w14:paraId="4F8FA3F9" w14:textId="4028FB32" w:rsidR="009B4062" w:rsidRPr="00DF7775" w:rsidRDefault="00190804" w:rsidP="00DF7775">
      <w:pPr>
        <w:pStyle w:val="ListParagraph"/>
        <w:numPr>
          <w:ilvl w:val="0"/>
          <w:numId w:val="3"/>
        </w:numPr>
        <w:tabs>
          <w:tab w:val="left" w:pos="720"/>
        </w:tabs>
        <w:spacing w:line="236" w:lineRule="auto"/>
        <w:ind w:right="166"/>
        <w:rPr>
          <w:rFonts w:eastAsia="Times New Roman"/>
          <w:sz w:val="24"/>
          <w:szCs w:val="24"/>
        </w:rPr>
      </w:pPr>
      <w:r w:rsidRPr="00DF7775">
        <w:rPr>
          <w:rFonts w:eastAsia="Times New Roman"/>
          <w:sz w:val="24"/>
          <w:szCs w:val="24"/>
        </w:rPr>
        <w:t>When a player transfers form one geographical area to another</w:t>
      </w:r>
      <w:r w:rsidR="00416DD2" w:rsidRPr="00DF7775">
        <w:rPr>
          <w:rFonts w:eastAsia="Times New Roman"/>
          <w:sz w:val="24"/>
          <w:szCs w:val="24"/>
        </w:rPr>
        <w:t>,</w:t>
      </w:r>
      <w:r w:rsidRPr="00DF7775">
        <w:rPr>
          <w:rFonts w:eastAsia="Times New Roman"/>
          <w:sz w:val="24"/>
          <w:szCs w:val="24"/>
        </w:rPr>
        <w:t xml:space="preserve"> </w:t>
      </w:r>
      <w:r w:rsidR="00416DD2" w:rsidRPr="00DF7775">
        <w:rPr>
          <w:rFonts w:eastAsia="Times New Roman"/>
          <w:sz w:val="24"/>
          <w:szCs w:val="24"/>
        </w:rPr>
        <w:t>t</w:t>
      </w:r>
      <w:r w:rsidRPr="00DF7775">
        <w:rPr>
          <w:rFonts w:eastAsia="Times New Roman"/>
          <w:sz w:val="24"/>
          <w:szCs w:val="24"/>
        </w:rPr>
        <w:t>he secretary of the outgoing Area Board, when the transfer has been completed, shall send a copy of the transfer form to the secretary of the incoming Area Board.</w:t>
      </w:r>
    </w:p>
    <w:p w14:paraId="54925AC7" w14:textId="77777777" w:rsidR="009B4062" w:rsidRPr="00DF7775" w:rsidRDefault="009B4062" w:rsidP="00DF7775">
      <w:pPr>
        <w:spacing w:line="278" w:lineRule="exact"/>
        <w:rPr>
          <w:rFonts w:eastAsia="Times New Roman"/>
          <w:sz w:val="24"/>
          <w:szCs w:val="24"/>
        </w:rPr>
      </w:pPr>
    </w:p>
    <w:p w14:paraId="0DB15D89" w14:textId="2CD0F30A" w:rsidR="009B4062" w:rsidRPr="00DF7775" w:rsidRDefault="00190804" w:rsidP="00DF7775">
      <w:pPr>
        <w:pStyle w:val="ListParagraph"/>
        <w:numPr>
          <w:ilvl w:val="0"/>
          <w:numId w:val="3"/>
        </w:numPr>
        <w:tabs>
          <w:tab w:val="left" w:pos="720"/>
        </w:tabs>
        <w:rPr>
          <w:rFonts w:eastAsia="Times New Roman"/>
          <w:sz w:val="24"/>
          <w:szCs w:val="24"/>
        </w:rPr>
      </w:pPr>
      <w:r w:rsidRPr="00DF7775">
        <w:rPr>
          <w:rFonts w:eastAsia="Times New Roman"/>
          <w:sz w:val="24"/>
          <w:szCs w:val="24"/>
        </w:rPr>
        <w:t>A player shall only be permitted to transfer once in a playing season.</w:t>
      </w:r>
    </w:p>
    <w:p w14:paraId="685E110E" w14:textId="77777777" w:rsidR="009B4062" w:rsidRPr="00DF7775" w:rsidRDefault="009B4062" w:rsidP="00DF7775">
      <w:pPr>
        <w:spacing w:line="288" w:lineRule="exact"/>
        <w:rPr>
          <w:rFonts w:eastAsia="Times New Roman"/>
          <w:sz w:val="24"/>
          <w:szCs w:val="24"/>
        </w:rPr>
      </w:pPr>
    </w:p>
    <w:p w14:paraId="7BC14071" w14:textId="5E04202C" w:rsidR="009B4062" w:rsidRPr="00DF7775" w:rsidRDefault="00190804" w:rsidP="00DF7775">
      <w:pPr>
        <w:pStyle w:val="ListParagraph"/>
        <w:numPr>
          <w:ilvl w:val="0"/>
          <w:numId w:val="3"/>
        </w:numPr>
        <w:tabs>
          <w:tab w:val="left" w:pos="720"/>
        </w:tabs>
        <w:spacing w:line="237" w:lineRule="auto"/>
        <w:ind w:right="86"/>
        <w:rPr>
          <w:rFonts w:eastAsia="Times New Roman"/>
          <w:sz w:val="24"/>
          <w:szCs w:val="24"/>
        </w:rPr>
      </w:pPr>
      <w:r w:rsidRPr="00DF7775">
        <w:rPr>
          <w:rFonts w:eastAsia="Times New Roman"/>
          <w:sz w:val="24"/>
          <w:szCs w:val="24"/>
        </w:rPr>
        <w:t>A club can only accept a maximum of 3 incoming players from any one club in a season. If a club caters for both genders, they can accept a maximum of 3 incoming transfers for each gender. At under 18 to under 15 clubs are only permitted to transfer 2 players into any one team.</w:t>
      </w:r>
    </w:p>
    <w:p w14:paraId="3FD220A4" w14:textId="77777777" w:rsidR="009B4062" w:rsidRPr="00DF7775" w:rsidRDefault="009B4062" w:rsidP="00DF7775">
      <w:pPr>
        <w:spacing w:line="289" w:lineRule="exact"/>
        <w:rPr>
          <w:rFonts w:eastAsia="Times New Roman"/>
          <w:sz w:val="24"/>
          <w:szCs w:val="24"/>
        </w:rPr>
      </w:pPr>
    </w:p>
    <w:p w14:paraId="7B3B1B80" w14:textId="54B194FD" w:rsidR="009B4062" w:rsidRPr="00DF7775" w:rsidRDefault="00190804" w:rsidP="00DF7775">
      <w:pPr>
        <w:pStyle w:val="ListParagraph"/>
        <w:numPr>
          <w:ilvl w:val="0"/>
          <w:numId w:val="3"/>
        </w:numPr>
        <w:tabs>
          <w:tab w:val="left" w:pos="720"/>
        </w:tabs>
        <w:spacing w:line="236" w:lineRule="auto"/>
        <w:ind w:right="306"/>
        <w:rPr>
          <w:rFonts w:eastAsia="Times New Roman"/>
          <w:sz w:val="24"/>
          <w:szCs w:val="24"/>
        </w:rPr>
      </w:pPr>
      <w:r w:rsidRPr="00DF7775">
        <w:rPr>
          <w:rFonts w:eastAsia="Times New Roman"/>
          <w:sz w:val="24"/>
          <w:szCs w:val="24"/>
        </w:rPr>
        <w:t>Where a club cannot facilitate a team within their natural age group, Rule 1</w:t>
      </w:r>
      <w:r w:rsidR="00DF7775">
        <w:rPr>
          <w:rFonts w:eastAsia="Times New Roman"/>
          <w:sz w:val="24"/>
          <w:szCs w:val="24"/>
        </w:rPr>
        <w:t>0</w:t>
      </w:r>
      <w:r w:rsidRPr="00DF7775">
        <w:rPr>
          <w:rFonts w:eastAsia="Times New Roman"/>
          <w:sz w:val="24"/>
          <w:szCs w:val="24"/>
        </w:rPr>
        <w:t xml:space="preserve"> above shall apply. The incoming transfer club may not accept more than the maximum 3 players.</w:t>
      </w:r>
    </w:p>
    <w:p w14:paraId="237B4D35" w14:textId="6CF12F01" w:rsidR="009B4062" w:rsidRPr="00DF7775" w:rsidRDefault="00190804" w:rsidP="00DF7775">
      <w:pPr>
        <w:spacing w:line="200" w:lineRule="exact"/>
        <w:rPr>
          <w:sz w:val="24"/>
          <w:szCs w:val="24"/>
        </w:rPr>
      </w:pPr>
      <w:bookmarkStart w:id="1" w:name="page2"/>
      <w:bookmarkEnd w:id="1"/>
      <w:r w:rsidRPr="00DF7775">
        <w:rPr>
          <w:noProof/>
          <w:sz w:val="24"/>
          <w:szCs w:val="24"/>
        </w:rPr>
        <w:drawing>
          <wp:anchor distT="0" distB="0" distL="114300" distR="114300" simplePos="0" relativeHeight="251658240" behindDoc="1" locked="0" layoutInCell="0" allowOverlap="1" wp14:anchorId="7A533EE4" wp14:editId="66A0B8D2">
            <wp:simplePos x="0" y="0"/>
            <wp:positionH relativeFrom="page">
              <wp:posOffset>304800</wp:posOffset>
            </wp:positionH>
            <wp:positionV relativeFrom="page">
              <wp:posOffset>304800</wp:posOffset>
            </wp:positionV>
            <wp:extent cx="6952615" cy="10084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6952615" cy="10084435"/>
                    </a:xfrm>
                    <a:prstGeom prst="rect">
                      <a:avLst/>
                    </a:prstGeom>
                    <a:noFill/>
                  </pic:spPr>
                </pic:pic>
              </a:graphicData>
            </a:graphic>
          </wp:anchor>
        </w:drawing>
      </w:r>
    </w:p>
    <w:p w14:paraId="4C4DB7E1" w14:textId="45CB0006" w:rsidR="009B4062" w:rsidRPr="00DF7775" w:rsidRDefault="00190804" w:rsidP="00DF7775">
      <w:pPr>
        <w:pStyle w:val="ListParagraph"/>
        <w:numPr>
          <w:ilvl w:val="0"/>
          <w:numId w:val="3"/>
        </w:numPr>
        <w:tabs>
          <w:tab w:val="left" w:pos="720"/>
        </w:tabs>
        <w:spacing w:line="227" w:lineRule="auto"/>
        <w:ind w:right="146"/>
        <w:rPr>
          <w:rFonts w:eastAsia="Times New Roman"/>
          <w:sz w:val="24"/>
          <w:szCs w:val="24"/>
        </w:rPr>
      </w:pPr>
      <w:r w:rsidRPr="00DF7775">
        <w:rPr>
          <w:rFonts w:eastAsia="Times New Roman"/>
          <w:sz w:val="24"/>
          <w:szCs w:val="24"/>
        </w:rPr>
        <w:t>Where a club becomes defunct prior to the commencement of the season and /or before the 31</w:t>
      </w:r>
      <w:r w:rsidRPr="00DF7775">
        <w:rPr>
          <w:rFonts w:eastAsia="Times New Roman"/>
          <w:sz w:val="24"/>
          <w:szCs w:val="24"/>
          <w:vertAlign w:val="superscript"/>
        </w:rPr>
        <w:t>st</w:t>
      </w:r>
      <w:r w:rsidRPr="00DF7775">
        <w:rPr>
          <w:rFonts w:eastAsia="Times New Roman"/>
          <w:sz w:val="24"/>
          <w:szCs w:val="24"/>
        </w:rPr>
        <w:t xml:space="preserve"> of October. The players of the club may transfer in compliance with rule 1</w:t>
      </w:r>
      <w:r w:rsidR="00A33DE1">
        <w:rPr>
          <w:rFonts w:eastAsia="Times New Roman"/>
          <w:sz w:val="24"/>
          <w:szCs w:val="24"/>
        </w:rPr>
        <w:t>0</w:t>
      </w:r>
      <w:r w:rsidRPr="00DF7775">
        <w:rPr>
          <w:rFonts w:eastAsia="Times New Roman"/>
          <w:sz w:val="24"/>
          <w:szCs w:val="24"/>
        </w:rPr>
        <w:t xml:space="preserve"> above. The transfer form must be completed with the </w:t>
      </w:r>
      <w:r w:rsidRPr="00DF7775">
        <w:rPr>
          <w:rFonts w:eastAsia="Times New Roman"/>
          <w:b/>
          <w:bCs/>
          <w:sz w:val="24"/>
          <w:szCs w:val="24"/>
        </w:rPr>
        <w:t>TRANSFERRING CLUB AUTHORISATION</w:t>
      </w:r>
      <w:r w:rsidRPr="00DF7775">
        <w:rPr>
          <w:rFonts w:eastAsia="Times New Roman"/>
          <w:sz w:val="24"/>
          <w:szCs w:val="24"/>
        </w:rPr>
        <w:t xml:space="preserve"> section crossed </w:t>
      </w:r>
      <w:r w:rsidRPr="00DF7775">
        <w:rPr>
          <w:rFonts w:eastAsia="Times New Roman"/>
          <w:b/>
          <w:bCs/>
          <w:sz w:val="24"/>
          <w:szCs w:val="24"/>
        </w:rPr>
        <w:t>CLUB DEFUNCT</w:t>
      </w:r>
      <w:r w:rsidRPr="00DF7775">
        <w:rPr>
          <w:rFonts w:eastAsia="Times New Roman"/>
          <w:sz w:val="24"/>
          <w:szCs w:val="24"/>
        </w:rPr>
        <w:t>.</w:t>
      </w:r>
    </w:p>
    <w:p w14:paraId="5C941378" w14:textId="77777777" w:rsidR="009B4062" w:rsidRPr="00DF7775" w:rsidRDefault="009B4062" w:rsidP="00DF7775">
      <w:pPr>
        <w:spacing w:line="272" w:lineRule="exact"/>
        <w:rPr>
          <w:rFonts w:eastAsia="Times New Roman"/>
          <w:sz w:val="24"/>
          <w:szCs w:val="24"/>
        </w:rPr>
      </w:pPr>
    </w:p>
    <w:p w14:paraId="37BBCF8A" w14:textId="77F51FF0" w:rsidR="009B4062" w:rsidRPr="00DF7775" w:rsidRDefault="00190804" w:rsidP="00DF7775">
      <w:pPr>
        <w:pStyle w:val="ListParagraph"/>
        <w:numPr>
          <w:ilvl w:val="0"/>
          <w:numId w:val="3"/>
        </w:numPr>
        <w:tabs>
          <w:tab w:val="left" w:pos="720"/>
        </w:tabs>
        <w:spacing w:line="208" w:lineRule="auto"/>
        <w:ind w:right="106"/>
        <w:rPr>
          <w:rFonts w:eastAsia="Times New Roman"/>
          <w:sz w:val="24"/>
          <w:szCs w:val="24"/>
        </w:rPr>
      </w:pPr>
      <w:r w:rsidRPr="00DF7775">
        <w:rPr>
          <w:rFonts w:eastAsia="Times New Roman"/>
          <w:sz w:val="24"/>
          <w:szCs w:val="24"/>
        </w:rPr>
        <w:t>Should a club become defunct after the 31</w:t>
      </w:r>
      <w:r w:rsidRPr="00DF7775">
        <w:rPr>
          <w:rFonts w:eastAsia="Times New Roman"/>
          <w:sz w:val="24"/>
          <w:szCs w:val="24"/>
          <w:vertAlign w:val="superscript"/>
        </w:rPr>
        <w:t>st</w:t>
      </w:r>
      <w:r w:rsidRPr="00DF7775">
        <w:rPr>
          <w:rFonts w:eastAsia="Times New Roman"/>
          <w:sz w:val="24"/>
          <w:szCs w:val="24"/>
        </w:rPr>
        <w:t xml:space="preserve"> of October, no players from the club may transfer within the remainder of that season.</w:t>
      </w:r>
    </w:p>
    <w:p w14:paraId="3B15BF05" w14:textId="77777777" w:rsidR="009B4062" w:rsidRPr="00DF7775" w:rsidRDefault="009B4062" w:rsidP="00DF7775">
      <w:pPr>
        <w:spacing w:line="289" w:lineRule="exact"/>
        <w:rPr>
          <w:rFonts w:eastAsia="Times New Roman"/>
          <w:sz w:val="24"/>
          <w:szCs w:val="24"/>
        </w:rPr>
      </w:pPr>
    </w:p>
    <w:p w14:paraId="4C4DED25" w14:textId="7244462A" w:rsidR="009B4062" w:rsidRPr="00DF7775" w:rsidRDefault="00190804" w:rsidP="00DF7775">
      <w:pPr>
        <w:pStyle w:val="ListParagraph"/>
        <w:numPr>
          <w:ilvl w:val="0"/>
          <w:numId w:val="3"/>
        </w:numPr>
        <w:tabs>
          <w:tab w:val="left" w:pos="720"/>
        </w:tabs>
        <w:spacing w:line="236" w:lineRule="auto"/>
        <w:ind w:right="66"/>
        <w:rPr>
          <w:rFonts w:eastAsia="Times New Roman"/>
          <w:sz w:val="24"/>
          <w:szCs w:val="24"/>
        </w:rPr>
      </w:pPr>
      <w:r w:rsidRPr="00DF7775">
        <w:rPr>
          <w:rFonts w:eastAsia="Times New Roman"/>
          <w:sz w:val="24"/>
          <w:szCs w:val="24"/>
        </w:rPr>
        <w:t>All transfers when completed, the assigned representative of the Area board shall forward the forms to Basketball Ireland as per Rule 10 E of Basketball Ireland, Regulations &amp; Bye Laws.</w:t>
      </w:r>
    </w:p>
    <w:p w14:paraId="648F8579" w14:textId="77777777" w:rsidR="009B4062" w:rsidRPr="00DF7775" w:rsidRDefault="009B4062" w:rsidP="00DF7775">
      <w:pPr>
        <w:spacing w:line="290" w:lineRule="exact"/>
        <w:rPr>
          <w:rFonts w:eastAsia="Times New Roman"/>
          <w:sz w:val="24"/>
          <w:szCs w:val="24"/>
        </w:rPr>
      </w:pPr>
    </w:p>
    <w:p w14:paraId="71005569" w14:textId="15699E68" w:rsidR="009B4062" w:rsidRPr="00DF7775" w:rsidRDefault="00190804" w:rsidP="00DF7775">
      <w:pPr>
        <w:pStyle w:val="ListParagraph"/>
        <w:numPr>
          <w:ilvl w:val="0"/>
          <w:numId w:val="3"/>
        </w:numPr>
        <w:tabs>
          <w:tab w:val="left" w:pos="720"/>
        </w:tabs>
        <w:spacing w:line="236" w:lineRule="auto"/>
        <w:ind w:right="366"/>
        <w:rPr>
          <w:rFonts w:eastAsia="Times New Roman"/>
          <w:sz w:val="24"/>
          <w:szCs w:val="24"/>
        </w:rPr>
      </w:pPr>
      <w:r w:rsidRPr="00DF7775">
        <w:rPr>
          <w:rFonts w:eastAsia="Times New Roman"/>
          <w:sz w:val="24"/>
          <w:szCs w:val="24"/>
        </w:rPr>
        <w:t>Where a transfer does not come under the above rules</w:t>
      </w:r>
      <w:r w:rsidR="00416DD2" w:rsidRPr="00DF7775">
        <w:rPr>
          <w:rFonts w:eastAsia="Times New Roman"/>
          <w:sz w:val="24"/>
          <w:szCs w:val="24"/>
        </w:rPr>
        <w:t>,</w:t>
      </w:r>
      <w:r w:rsidRPr="00DF7775">
        <w:rPr>
          <w:rFonts w:eastAsia="Times New Roman"/>
          <w:sz w:val="24"/>
          <w:szCs w:val="24"/>
        </w:rPr>
        <w:t xml:space="preserve"> </w:t>
      </w:r>
      <w:r w:rsidR="00416DD2" w:rsidRPr="00DF7775">
        <w:rPr>
          <w:rFonts w:eastAsia="Times New Roman"/>
          <w:sz w:val="24"/>
          <w:szCs w:val="24"/>
        </w:rPr>
        <w:t>t</w:t>
      </w:r>
      <w:r w:rsidRPr="00DF7775">
        <w:rPr>
          <w:rFonts w:eastAsia="Times New Roman"/>
          <w:sz w:val="24"/>
          <w:szCs w:val="24"/>
        </w:rPr>
        <w:t>he secretary of the Area Board whom jurisdiction for the transfer falls under shall submit the transfer to the National Area Boards Committee (NABC) for their decision.</w:t>
      </w:r>
    </w:p>
    <w:p w14:paraId="34D990E9" w14:textId="77777777" w:rsidR="009B4062" w:rsidRPr="00DF7775" w:rsidRDefault="009B4062" w:rsidP="00DF7775">
      <w:pPr>
        <w:spacing w:line="289" w:lineRule="exact"/>
        <w:rPr>
          <w:rFonts w:eastAsia="Times New Roman"/>
          <w:sz w:val="24"/>
          <w:szCs w:val="24"/>
        </w:rPr>
      </w:pPr>
    </w:p>
    <w:p w14:paraId="1999068D" w14:textId="10272AB9" w:rsidR="009B4062" w:rsidRPr="00DF7775" w:rsidRDefault="00190804" w:rsidP="00DF7775">
      <w:pPr>
        <w:pStyle w:val="ListParagraph"/>
        <w:numPr>
          <w:ilvl w:val="0"/>
          <w:numId w:val="3"/>
        </w:numPr>
        <w:tabs>
          <w:tab w:val="left" w:pos="720"/>
        </w:tabs>
        <w:spacing w:line="238" w:lineRule="auto"/>
        <w:ind w:right="6"/>
        <w:rPr>
          <w:rFonts w:eastAsia="Times New Roman"/>
          <w:sz w:val="24"/>
          <w:szCs w:val="24"/>
        </w:rPr>
      </w:pPr>
      <w:r w:rsidRPr="00DF7775">
        <w:rPr>
          <w:rFonts w:eastAsia="Times New Roman"/>
          <w:sz w:val="24"/>
          <w:szCs w:val="24"/>
        </w:rPr>
        <w:t>Where an Area Board refuses a players transfer within the rules above or for any other reason</w:t>
      </w:r>
      <w:r w:rsidR="00FF1D71" w:rsidRPr="00DF7775">
        <w:rPr>
          <w:rFonts w:eastAsia="Times New Roman"/>
          <w:sz w:val="24"/>
          <w:szCs w:val="24"/>
        </w:rPr>
        <w:t>, t</w:t>
      </w:r>
      <w:r w:rsidRPr="00DF7775">
        <w:rPr>
          <w:rFonts w:eastAsia="Times New Roman"/>
          <w:sz w:val="24"/>
          <w:szCs w:val="24"/>
        </w:rPr>
        <w:t>he player having firstly complied with the appeal procedures of their Area Board shall then have the right of appeal to the National Area Board Committee (NABC). In order for the appeal to be valid it must be received in writing by the Secretary of the NABC within 14 days of notification of the decision of their Area Board and must be accompanied by a deposit of €300.00. This deposit shall be refunded if the appeal is upheld.</w:t>
      </w:r>
    </w:p>
    <w:p w14:paraId="1E9D02C7" w14:textId="77777777" w:rsidR="009B4062" w:rsidRPr="00DF7775" w:rsidRDefault="009B4062" w:rsidP="00DF7775">
      <w:pPr>
        <w:spacing w:line="292" w:lineRule="exact"/>
        <w:rPr>
          <w:rFonts w:eastAsia="Times New Roman"/>
          <w:sz w:val="24"/>
          <w:szCs w:val="24"/>
        </w:rPr>
      </w:pPr>
    </w:p>
    <w:p w14:paraId="08803E93" w14:textId="499DA99B" w:rsidR="009B4062" w:rsidRPr="00DF7775" w:rsidRDefault="00190804" w:rsidP="00DF7775">
      <w:pPr>
        <w:pStyle w:val="ListParagraph"/>
        <w:numPr>
          <w:ilvl w:val="0"/>
          <w:numId w:val="3"/>
        </w:numPr>
        <w:tabs>
          <w:tab w:val="left" w:pos="720"/>
        </w:tabs>
        <w:spacing w:line="234" w:lineRule="auto"/>
        <w:ind w:right="206"/>
        <w:rPr>
          <w:rFonts w:eastAsia="Times New Roman"/>
          <w:sz w:val="24"/>
          <w:szCs w:val="24"/>
        </w:rPr>
      </w:pPr>
      <w:r w:rsidRPr="00DF7775">
        <w:rPr>
          <w:rFonts w:eastAsia="Times New Roman"/>
          <w:sz w:val="24"/>
          <w:szCs w:val="24"/>
        </w:rPr>
        <w:t>In order for an appeal to be progressed to the NABC, it must first have exhausted all available mechanisms of the players/clubs Area Board.</w:t>
      </w:r>
    </w:p>
    <w:p w14:paraId="3AED3C4F" w14:textId="77777777" w:rsidR="009B4062" w:rsidRPr="00DF7775" w:rsidRDefault="009B4062" w:rsidP="00DF7775">
      <w:pPr>
        <w:spacing w:line="289" w:lineRule="exact"/>
        <w:rPr>
          <w:rFonts w:eastAsia="Times New Roman"/>
          <w:sz w:val="24"/>
          <w:szCs w:val="24"/>
        </w:rPr>
      </w:pPr>
    </w:p>
    <w:p w14:paraId="3A2F714D" w14:textId="4672F0BA" w:rsidR="009B4062" w:rsidRPr="00DF7775" w:rsidRDefault="00190804" w:rsidP="00DF7775">
      <w:pPr>
        <w:pStyle w:val="ListParagraph"/>
        <w:numPr>
          <w:ilvl w:val="0"/>
          <w:numId w:val="3"/>
        </w:numPr>
        <w:tabs>
          <w:tab w:val="left" w:pos="720"/>
        </w:tabs>
        <w:spacing w:line="237" w:lineRule="auto"/>
        <w:ind w:right="6"/>
        <w:rPr>
          <w:rFonts w:eastAsia="Times New Roman"/>
          <w:sz w:val="24"/>
          <w:szCs w:val="24"/>
        </w:rPr>
      </w:pPr>
      <w:r w:rsidRPr="00DF7775">
        <w:rPr>
          <w:rFonts w:eastAsia="Times New Roman"/>
          <w:sz w:val="24"/>
          <w:szCs w:val="24"/>
        </w:rPr>
        <w:t>When the secretary of the National Area Boards Committee (NABC) receives an appeal under rule 18 above</w:t>
      </w:r>
      <w:r w:rsidR="00FF1D71" w:rsidRPr="00DF7775">
        <w:rPr>
          <w:rFonts w:eastAsia="Times New Roman"/>
          <w:sz w:val="24"/>
          <w:szCs w:val="24"/>
        </w:rPr>
        <w:t>,</w:t>
      </w:r>
      <w:r w:rsidRPr="00DF7775">
        <w:rPr>
          <w:rFonts w:eastAsia="Times New Roman"/>
          <w:sz w:val="24"/>
          <w:szCs w:val="24"/>
        </w:rPr>
        <w:t xml:space="preserve"> </w:t>
      </w:r>
      <w:r w:rsidR="00FF1D71" w:rsidRPr="00DF7775">
        <w:rPr>
          <w:rFonts w:eastAsia="Times New Roman"/>
          <w:sz w:val="24"/>
          <w:szCs w:val="24"/>
        </w:rPr>
        <w:t>t</w:t>
      </w:r>
      <w:r w:rsidRPr="00DF7775">
        <w:rPr>
          <w:rFonts w:eastAsia="Times New Roman"/>
          <w:sz w:val="24"/>
          <w:szCs w:val="24"/>
        </w:rPr>
        <w:t>he secretary will inform the players Area Board of the receipt of the appeal and set the date for the hearing which shall take place at the next scheduled meeting of the NABC and/or within twenty-eight (28) days of the receipt of the appeal. All parties to the appeal shall be entitled to be represented at the hearing.</w:t>
      </w:r>
    </w:p>
    <w:p w14:paraId="491A5F34" w14:textId="77777777" w:rsidR="009B4062" w:rsidRPr="00DF7775" w:rsidRDefault="009B4062" w:rsidP="00DF7775">
      <w:pPr>
        <w:spacing w:line="293" w:lineRule="exact"/>
        <w:rPr>
          <w:rFonts w:eastAsia="Times New Roman"/>
          <w:sz w:val="24"/>
          <w:szCs w:val="24"/>
        </w:rPr>
      </w:pPr>
    </w:p>
    <w:p w14:paraId="3C8A4571" w14:textId="239EED25" w:rsidR="009B4062" w:rsidRPr="00DF7775" w:rsidRDefault="00190804" w:rsidP="00A33DE1">
      <w:pPr>
        <w:pStyle w:val="ListParagraph"/>
        <w:numPr>
          <w:ilvl w:val="0"/>
          <w:numId w:val="3"/>
        </w:numPr>
        <w:tabs>
          <w:tab w:val="left" w:pos="720"/>
        </w:tabs>
        <w:spacing w:line="200" w:lineRule="exact"/>
        <w:ind w:right="6"/>
        <w:rPr>
          <w:sz w:val="24"/>
          <w:szCs w:val="24"/>
        </w:rPr>
      </w:pPr>
      <w:r w:rsidRPr="00DF7775">
        <w:rPr>
          <w:rFonts w:eastAsia="Times New Roman"/>
          <w:sz w:val="24"/>
          <w:szCs w:val="24"/>
        </w:rPr>
        <w:t>The National Area Boards Committee shall have the right to exercise its judgment in the interpretation of the above rules.</w:t>
      </w:r>
    </w:p>
    <w:p w14:paraId="1F96C510" w14:textId="77777777" w:rsidR="009B4062" w:rsidRPr="00DF7775" w:rsidRDefault="009B4062">
      <w:pPr>
        <w:spacing w:line="236" w:lineRule="exact"/>
        <w:rPr>
          <w:sz w:val="24"/>
          <w:szCs w:val="24"/>
        </w:rPr>
      </w:pPr>
    </w:p>
    <w:p w14:paraId="7612B573" w14:textId="2DCAB2D2" w:rsidR="009B4062" w:rsidRPr="00DF7775" w:rsidRDefault="00190804">
      <w:pPr>
        <w:ind w:left="720"/>
        <w:rPr>
          <w:sz w:val="24"/>
          <w:szCs w:val="24"/>
        </w:rPr>
      </w:pPr>
      <w:r w:rsidRPr="00DF7775">
        <w:rPr>
          <w:rFonts w:eastAsia="Times New Roman"/>
          <w:sz w:val="24"/>
          <w:szCs w:val="24"/>
        </w:rPr>
        <w:t>Adopted by the NABC  5th June 2024</w:t>
      </w:r>
    </w:p>
    <w:p w14:paraId="46C7F749" w14:textId="77777777" w:rsidR="009B4062" w:rsidRPr="00DF7775" w:rsidRDefault="00190804">
      <w:pPr>
        <w:spacing w:line="20" w:lineRule="exact"/>
        <w:rPr>
          <w:sz w:val="24"/>
          <w:szCs w:val="24"/>
        </w:rPr>
      </w:pPr>
      <w:r w:rsidRPr="00DF7775">
        <w:rPr>
          <w:noProof/>
          <w:sz w:val="24"/>
          <w:szCs w:val="24"/>
        </w:rPr>
        <mc:AlternateContent>
          <mc:Choice Requires="wps">
            <w:drawing>
              <wp:anchor distT="0" distB="0" distL="114300" distR="114300" simplePos="0" relativeHeight="251659264" behindDoc="1" locked="0" layoutInCell="0" allowOverlap="1" wp14:anchorId="3EDF4434" wp14:editId="164858A8">
                <wp:simplePos x="0" y="0"/>
                <wp:positionH relativeFrom="column">
                  <wp:posOffset>-609600</wp:posOffset>
                </wp:positionH>
                <wp:positionV relativeFrom="paragraph">
                  <wp:posOffset>875030</wp:posOffset>
                </wp:positionV>
                <wp:extent cx="695198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3F55BC0" id="Shape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8pt,68.9pt" to="499.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" o:allowincell="f" filled="t" strokeweight=".08464mm">
                <v:stroke joinstyle="miter"/>
                <o:lock v:ext="edit" shapetype="f"/>
              </v:line>
            </w:pict>
          </mc:Fallback>
        </mc:AlternateContent>
      </w:r>
    </w:p>
    <w:sectPr w:rsidR="009B4062" w:rsidRPr="00DF7775">
      <w:pgSz w:w="11900" w:h="16838"/>
      <w:pgMar w:top="1440"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A75DD"/>
    <w:multiLevelType w:val="hybridMultilevel"/>
    <w:tmpl w:val="C2C0B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43C9869"/>
    <w:multiLevelType w:val="hybridMultilevel"/>
    <w:tmpl w:val="D9064B74"/>
    <w:lvl w:ilvl="0" w:tplc="0DB054D8">
      <w:start w:val="1"/>
      <w:numFmt w:val="decimal"/>
      <w:lvlText w:val="%1."/>
      <w:lvlJc w:val="left"/>
    </w:lvl>
    <w:lvl w:ilvl="1" w:tplc="66E273A4">
      <w:numFmt w:val="decimal"/>
      <w:lvlText w:val=""/>
      <w:lvlJc w:val="left"/>
    </w:lvl>
    <w:lvl w:ilvl="2" w:tplc="E9306A40">
      <w:numFmt w:val="decimal"/>
      <w:lvlText w:val=""/>
      <w:lvlJc w:val="left"/>
    </w:lvl>
    <w:lvl w:ilvl="3" w:tplc="ABB2691E">
      <w:numFmt w:val="decimal"/>
      <w:lvlText w:val=""/>
      <w:lvlJc w:val="left"/>
    </w:lvl>
    <w:lvl w:ilvl="4" w:tplc="28800214">
      <w:numFmt w:val="decimal"/>
      <w:lvlText w:val=""/>
      <w:lvlJc w:val="left"/>
    </w:lvl>
    <w:lvl w:ilvl="5" w:tplc="F5682090">
      <w:numFmt w:val="decimal"/>
      <w:lvlText w:val=""/>
      <w:lvlJc w:val="left"/>
    </w:lvl>
    <w:lvl w:ilvl="6" w:tplc="B9E4D7D6">
      <w:numFmt w:val="decimal"/>
      <w:lvlText w:val=""/>
      <w:lvlJc w:val="left"/>
    </w:lvl>
    <w:lvl w:ilvl="7" w:tplc="DC0AEF98">
      <w:numFmt w:val="decimal"/>
      <w:lvlText w:val=""/>
      <w:lvlJc w:val="left"/>
    </w:lvl>
    <w:lvl w:ilvl="8" w:tplc="2FEE158C">
      <w:numFmt w:val="decimal"/>
      <w:lvlText w:val=""/>
      <w:lvlJc w:val="left"/>
    </w:lvl>
  </w:abstractNum>
  <w:abstractNum w:abstractNumId="2" w15:restartNumberingAfterBreak="0">
    <w:nsid w:val="66334873"/>
    <w:multiLevelType w:val="hybridMultilevel"/>
    <w:tmpl w:val="1D2C93D4"/>
    <w:lvl w:ilvl="0" w:tplc="CB96D932">
      <w:start w:val="13"/>
      <w:numFmt w:val="decimal"/>
      <w:lvlText w:val="%1."/>
      <w:lvlJc w:val="left"/>
    </w:lvl>
    <w:lvl w:ilvl="1" w:tplc="09CC5588">
      <w:numFmt w:val="decimal"/>
      <w:lvlText w:val=""/>
      <w:lvlJc w:val="left"/>
    </w:lvl>
    <w:lvl w:ilvl="2" w:tplc="C80626E4">
      <w:numFmt w:val="decimal"/>
      <w:lvlText w:val=""/>
      <w:lvlJc w:val="left"/>
    </w:lvl>
    <w:lvl w:ilvl="3" w:tplc="6F4EA4F8">
      <w:numFmt w:val="decimal"/>
      <w:lvlText w:val=""/>
      <w:lvlJc w:val="left"/>
    </w:lvl>
    <w:lvl w:ilvl="4" w:tplc="5D18F04E">
      <w:numFmt w:val="decimal"/>
      <w:lvlText w:val=""/>
      <w:lvlJc w:val="left"/>
    </w:lvl>
    <w:lvl w:ilvl="5" w:tplc="A126BAC8">
      <w:numFmt w:val="decimal"/>
      <w:lvlText w:val=""/>
      <w:lvlJc w:val="left"/>
    </w:lvl>
    <w:lvl w:ilvl="6" w:tplc="3488BE16">
      <w:numFmt w:val="decimal"/>
      <w:lvlText w:val=""/>
      <w:lvlJc w:val="left"/>
    </w:lvl>
    <w:lvl w:ilvl="7" w:tplc="E556B09E">
      <w:numFmt w:val="decimal"/>
      <w:lvlText w:val=""/>
      <w:lvlJc w:val="left"/>
    </w:lvl>
    <w:lvl w:ilvl="8" w:tplc="1B142A98">
      <w:numFmt w:val="decimal"/>
      <w:lvlText w:val=""/>
      <w:lvlJc w:val="left"/>
    </w:lvl>
  </w:abstractNum>
  <w:num w:numId="1" w16cid:durableId="738283055">
    <w:abstractNumId w:val="1"/>
  </w:num>
  <w:num w:numId="2" w16cid:durableId="1029376566">
    <w:abstractNumId w:val="2"/>
  </w:num>
  <w:num w:numId="3" w16cid:durableId="105254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62"/>
    <w:rsid w:val="000602FC"/>
    <w:rsid w:val="00115242"/>
    <w:rsid w:val="00190804"/>
    <w:rsid w:val="00416DD2"/>
    <w:rsid w:val="009A7510"/>
    <w:rsid w:val="009B4062"/>
    <w:rsid w:val="00A33DE1"/>
    <w:rsid w:val="00AF4A79"/>
    <w:rsid w:val="00DF7775"/>
    <w:rsid w:val="00F351EF"/>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BF0D"/>
  <w15:docId w15:val="{029F823A-86F9-47A5-A29F-2FB0F973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Dublin Ladies Basketball Board</cp:lastModifiedBy>
  <cp:revision>5</cp:revision>
  <dcterms:created xsi:type="dcterms:W3CDTF">2024-08-19T15:08:00Z</dcterms:created>
  <dcterms:modified xsi:type="dcterms:W3CDTF">2024-08-20T19:28:00Z</dcterms:modified>
</cp:coreProperties>
</file>